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-457200</wp:posOffset>
            </wp:positionH>
            <wp:positionV relativeFrom="paragraph">
              <wp:posOffset>-146685</wp:posOffset>
            </wp:positionV>
            <wp:extent cx="1336675" cy="16960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23" t="-678" r="-923" b="-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sr-CS"/>
        </w:rPr>
        <w:t>Р</w:t>
      </w:r>
      <w:r>
        <w:rPr>
          <w:rFonts w:ascii="Times New Roman" w:hAnsi="Times New Roman"/>
          <w:sz w:val="24"/>
          <w:szCs w:val="24"/>
          <w:lang w:val="sr-CS"/>
        </w:rPr>
        <w:t>ЕПУБЛИКА СРБИЈА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Општина Ћићевац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>Општинска управа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Одсек за </w:t>
      </w:r>
      <w:r>
        <w:rPr>
          <w:rFonts w:ascii="Times New Roman" w:hAnsi="Times New Roman"/>
          <w:sz w:val="24"/>
          <w:szCs w:val="24"/>
          <w:lang w:val="sr-RS"/>
        </w:rPr>
        <w:t>урбанизам, грађевинарство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RS"/>
        </w:rPr>
        <w:t>и инспекцијске</w:t>
      </w:r>
      <w:r>
        <w:rPr>
          <w:rFonts w:ascii="Times New Roman" w:hAnsi="Times New Roman"/>
          <w:sz w:val="24"/>
          <w:szCs w:val="24"/>
          <w:lang w:val="sr-CS"/>
        </w:rPr>
        <w:t xml:space="preserve"> послове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Број: </w:t>
      </w:r>
      <w:r>
        <w:rPr>
          <w:rFonts w:ascii="Times New Roman" w:hAnsi="Times New Roman"/>
          <w:sz w:val="24"/>
          <w:szCs w:val="24"/>
          <w:lang w:val="sr-RS"/>
        </w:rPr>
        <w:t>501</w:t>
      </w:r>
      <w:r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RS"/>
        </w:rPr>
        <w:t>7/22-03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sr-CS"/>
        </w:rPr>
        <w:t xml:space="preserve">Дана: 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4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.02.2022</w:t>
      </w:r>
      <w:r>
        <w:rPr>
          <w:rFonts w:ascii="Times New Roman" w:hAnsi="Times New Roman"/>
          <w:b w:val="false"/>
          <w:bCs w:val="false"/>
          <w:sz w:val="24"/>
          <w:szCs w:val="24"/>
          <w:lang w:val="sr-CS"/>
        </w:rPr>
        <w:t xml:space="preserve">. </w:t>
      </w:r>
      <w:r>
        <w:rPr>
          <w:rFonts w:ascii="Times New Roman" w:hAnsi="Times New Roman"/>
          <w:b w:val="false"/>
          <w:bCs w:val="false"/>
          <w:sz w:val="24"/>
          <w:szCs w:val="24"/>
          <w:lang w:val="sr-RS"/>
        </w:rPr>
        <w:t>године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Default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Default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ИЗВЕШТАЈ ЗА 2021. ГОДИНУ</w:t>
      </w:r>
    </w:p>
    <w:p>
      <w:pPr>
        <w:pStyle w:val="Default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ИНСПЕКТОРА ЗА ЗАШТИТУ ЖИВОТНЕ СРЕДИНЕ</w:t>
      </w:r>
    </w:p>
    <w:p>
      <w:pPr>
        <w:pStyle w:val="Default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Default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Инспектор за заштиту животне средине врши контролу и обавља онај део поверених послова из области заштите животне средине који се односи на нспекцијски надзор и контролу по свим важећим Законима и прописима заштите животне средине који су у примени, што подразумева и надлежности по донетим одлукама општине Ћићевац.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Инспектор за заштиту животне средине врши надзор у складу са: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Законом о заштити животне средине </w:t>
      </w:r>
      <w:r>
        <w:rPr>
          <w:rFonts w:cs="Times New Roman"/>
          <w:sz w:val="24"/>
          <w:szCs w:val="24"/>
        </w:rPr>
        <w:t>(„Сл</w:t>
      </w:r>
      <w:r>
        <w:rPr>
          <w:rFonts w:cs="Times New Roman"/>
          <w:sz w:val="24"/>
          <w:szCs w:val="24"/>
          <w:lang w:val="sr-RS"/>
        </w:rPr>
        <w:t>ужбени</w:t>
      </w:r>
      <w:r>
        <w:rPr>
          <w:rFonts w:cs="Times New Roman"/>
          <w:sz w:val="24"/>
          <w:szCs w:val="24"/>
        </w:rPr>
        <w:t xml:space="preserve"> гласник РС“, бр. 135/04, 36/09-др. закон, 72/09-др. закон, 43/11-одлука УС, 14/16, 76/18 и 95/18-др. закон)</w:t>
      </w:r>
      <w:r>
        <w:rPr>
          <w:sz w:val="24"/>
          <w:szCs w:val="24"/>
        </w:rPr>
        <w:t xml:space="preserve">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2. Законом о процени утицаја на животну средину (''Службени гласник РС'', број 135/2004</w:t>
      </w:r>
      <w:r>
        <w:rPr>
          <w:sz w:val="24"/>
          <w:szCs w:val="24"/>
          <w:lang w:val="sr-RS"/>
        </w:rPr>
        <w:t xml:space="preserve"> и </w:t>
      </w:r>
      <w:r>
        <w:rPr>
          <w:sz w:val="24"/>
          <w:szCs w:val="24"/>
        </w:rPr>
        <w:t xml:space="preserve">36/2009)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 Законом о заштити ваздуха (''Службени гласник РС'', број 36/2009 </w:t>
      </w:r>
      <w:r>
        <w:rPr>
          <w:sz w:val="24"/>
          <w:szCs w:val="24"/>
          <w:lang w:val="sr-RS"/>
        </w:rPr>
        <w:t xml:space="preserve">и </w:t>
      </w:r>
      <w:r>
        <w:rPr>
          <w:sz w:val="24"/>
          <w:szCs w:val="24"/>
        </w:rPr>
        <w:t xml:space="preserve">10/2013)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4. Законом о интегрисаном спречавању и контроли загађивања животне средине (''Службени гласник РС'', број 36/2009 и 25/2015)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5. Законом о заштити од буке у животној средини (''Службени гласник РС'', број 36/2009 и 88/2010)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6. Законом о управљању отпадом (''Службени гласник РС'', број 36/2009, 88/2010, 14/2016 </w:t>
      </w:r>
      <w:r>
        <w:rPr>
          <w:sz w:val="24"/>
          <w:szCs w:val="24"/>
          <w:lang w:val="sr-RS"/>
        </w:rPr>
        <w:t>и 95/2018-др. закон</w:t>
      </w:r>
      <w:r>
        <w:rPr>
          <w:sz w:val="24"/>
          <w:szCs w:val="24"/>
        </w:rPr>
        <w:t xml:space="preserve">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7. Законом о хемикалијама (''Службени гласник РС'', број 36/2009, 88/2010, 92/2011 и 25/2015) </w:t>
      </w:r>
    </w:p>
    <w:p>
      <w:pPr>
        <w:pStyle w:val="Default"/>
        <w:spacing w:lineRule="auto" w:line="276" w:before="0" w:after="6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8. Законом о заштити од нејонизујућег зрачења (''Службени гласник РС'', број 36/2009) 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9. Законом о инспекцијском надзору (''Службени гласник РС'', број 36/2015, 44/2018 и 95/2018)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lang w:val="sr-Latn-RS"/>
        </w:rPr>
        <w:t>1)</w:t>
      </w:r>
      <w:r>
        <w:rPr>
          <w:b/>
          <w:bCs/>
          <w:sz w:val="24"/>
          <w:szCs w:val="24"/>
        </w:rPr>
        <w:t xml:space="preserve"> Број спречених или битно умањених вероватних настанака штетних последица по законом заштићена добра, права и интересе (превентивно деловање инспекције): </w:t>
      </w:r>
    </w:p>
    <w:p>
      <w:pPr>
        <w:pStyle w:val="Defaul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Default"/>
        <w:rPr>
          <w:color w:val="auto"/>
        </w:rPr>
      </w:pPr>
      <w:r>
        <w:rPr>
          <w:color w:val="auto"/>
          <w:sz w:val="24"/>
          <w:szCs w:val="24"/>
          <w:lang w:val="sr-RS"/>
        </w:rPr>
        <w:t>Није било превентивног деловања.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2) Обавештавање јавности, пружање стручне и саветодавне подршке надзираним субјектима са подацима о броју и облицима ових активности и кругу лица обухваћених тим активностима (превентивно деловање)</w:t>
      </w:r>
      <w:r>
        <w:rPr>
          <w:b/>
          <w:bCs/>
          <w:sz w:val="24"/>
          <w:szCs w:val="24"/>
          <w:lang w:val="sr-RS"/>
        </w:rPr>
        <w:t>:</w:t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  <w:lang w:val="sr-RS"/>
        </w:rPr>
      </w:pPr>
      <w:r>
        <w:rPr>
          <w:b/>
          <w:bCs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val="sr-RS" w:eastAsia="zh-CN" w:bidi="ar-SA"/>
        </w:rPr>
        <w:t>Обавештавање јавности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RS"/>
        </w:rPr>
        <w:t>пружање стручне и  саветодавне подршке надзираним субјектима није реализовано у 2021. години. Није било превентивних инспекцијских надзора.</w:t>
      </w:r>
    </w:p>
    <w:p>
      <w:pPr>
        <w:pStyle w:val="Normal"/>
        <w:spacing w:lineRule="auto" w:line="276" w:before="0" w:after="0"/>
        <w:ind w:left="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3) Ниво усклађености пословања и поступања надзираних субјеката са законом и другим прописом, који се мери помоћу контролних листи</w:t>
      </w:r>
      <w:r>
        <w:rPr>
          <w:b/>
          <w:bCs/>
          <w:sz w:val="24"/>
          <w:szCs w:val="24"/>
          <w:lang w:val="sr-RS"/>
        </w:rPr>
        <w:t>: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color w:val="auto"/>
          <w:sz w:val="24"/>
          <w:szCs w:val="24"/>
          <w:lang w:val="sr-RS"/>
        </w:rPr>
        <w:t>У</w:t>
      </w:r>
      <w:r>
        <w:rPr>
          <w:color w:val="auto"/>
          <w:sz w:val="24"/>
          <w:szCs w:val="24"/>
        </w:rPr>
        <w:t xml:space="preserve"> поступку редовног</w:t>
      </w:r>
      <w:r>
        <w:rPr>
          <w:color w:val="auto"/>
          <w:sz w:val="24"/>
          <w:szCs w:val="24"/>
          <w:lang w:val="sr-RS"/>
        </w:rPr>
        <w:t xml:space="preserve"> и ванредног</w:t>
      </w:r>
      <w:r>
        <w:rPr>
          <w:color w:val="auto"/>
          <w:sz w:val="24"/>
          <w:szCs w:val="24"/>
        </w:rPr>
        <w:t xml:space="preserve"> инспекцијског надзора примењују се</w:t>
      </w:r>
      <w:r>
        <w:rPr>
          <w:color w:val="auto"/>
          <w:sz w:val="24"/>
          <w:szCs w:val="24"/>
          <w:lang w:val="sr-RS"/>
        </w:rPr>
        <w:t xml:space="preserve"> к</w:t>
      </w:r>
      <w:r>
        <w:rPr>
          <w:color w:val="auto"/>
          <w:sz w:val="24"/>
          <w:szCs w:val="24"/>
        </w:rPr>
        <w:t xml:space="preserve">онтролне листе </w:t>
      </w:r>
      <w:r>
        <w:rPr>
          <w:rFonts w:eastAsia="Calibri" w:cs="Times New Roman"/>
          <w:color w:val="auto"/>
          <w:kern w:val="0"/>
          <w:sz w:val="24"/>
          <w:szCs w:val="24"/>
          <w:lang w:val="sr-RS" w:eastAsia="en-US" w:bidi="ar-SA"/>
        </w:rPr>
        <w:t>које</w:t>
      </w:r>
      <w:r>
        <w:rPr>
          <w:color w:val="auto"/>
          <w:sz w:val="24"/>
          <w:szCs w:val="24"/>
        </w:rPr>
        <w:t xml:space="preserve"> су</w:t>
      </w:r>
      <w:r>
        <w:rPr>
          <w:color w:val="auto"/>
          <w:sz w:val="24"/>
          <w:szCs w:val="24"/>
          <w:lang w:val="sr-RS"/>
        </w:rPr>
        <w:t xml:space="preserve"> доступне </w:t>
      </w:r>
      <w:r>
        <w:rPr>
          <w:color w:val="auto"/>
          <w:sz w:val="24"/>
          <w:szCs w:val="24"/>
        </w:rPr>
        <w:t>на интернет страници</w:t>
      </w:r>
      <w:r>
        <w:rPr>
          <w:color w:val="auto"/>
          <w:sz w:val="24"/>
          <w:szCs w:val="24"/>
          <w:lang w:val="sr-RS"/>
        </w:rPr>
        <w:t xml:space="preserve"> Министарства заштите животне средине</w:t>
      </w:r>
      <w:r>
        <w:rPr>
          <w:color w:val="auto"/>
          <w:sz w:val="24"/>
          <w:szCs w:val="24"/>
        </w:rPr>
        <w:t xml:space="preserve">. </w:t>
      </w:r>
      <w:r>
        <w:rPr>
          <w:color w:val="C9211E"/>
          <w:sz w:val="24"/>
          <w:szCs w:val="24"/>
        </w:rPr>
        <w:t xml:space="preserve"> 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4) 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  <w:r>
        <w:rPr>
          <w:b/>
          <w:bCs/>
          <w:sz w:val="24"/>
          <w:szCs w:val="24"/>
          <w:lang w:val="sr-RS"/>
        </w:rPr>
        <w:t>:</w:t>
      </w:r>
    </w:p>
    <w:p>
      <w:pPr>
        <w:pStyle w:val="Default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/>
          <w:color w:val="auto"/>
          <w:kern w:val="0"/>
          <w:sz w:val="24"/>
          <w:szCs w:val="24"/>
          <w:lang w:val="sr-RS" w:eastAsia="en-US" w:bidi="ar-SA"/>
        </w:rPr>
        <w:t>Током 2021. године није било изречених корективних мера.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5) Број утврђених нерегистрованих субјеката и мере спроведене према њима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 овом извештајном периоду није утврђен рад нерегистрованих субјеката</w:t>
      </w:r>
      <w:r>
        <w:rPr>
          <w:sz w:val="24"/>
          <w:szCs w:val="24"/>
          <w:lang w:val="sr-RS"/>
        </w:rPr>
        <w:t>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6) Мере предузете ради уједначавања праксе инспекцијског надзора и њиховом дејству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Уједначавање праксе инспекцијског надзора се постиже сарадњом и разменом искустава са другим инспекцијама. </w:t>
      </w:r>
      <w:r>
        <w:rPr>
          <w:color w:val="auto"/>
          <w:sz w:val="24"/>
          <w:szCs w:val="24"/>
          <w:lang w:val="sr-RS"/>
        </w:rPr>
        <w:t xml:space="preserve">При изради плана рада и извештаја о раду користе се инструкције републичких инспектора. </w:t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7) Остварење плана и ваљаност планирања инспекцијског надзора, нарочито у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color w:val="auto"/>
          <w:sz w:val="24"/>
          <w:szCs w:val="24"/>
        </w:rPr>
        <w:t>Планом инспекцијског надзора за 202</w:t>
      </w:r>
      <w:r>
        <w:rPr>
          <w:color w:val="auto"/>
          <w:sz w:val="24"/>
          <w:szCs w:val="24"/>
          <w:lang w:val="sr-RS"/>
        </w:rPr>
        <w:t>1</w:t>
      </w:r>
      <w:r>
        <w:rPr>
          <w:color w:val="auto"/>
          <w:sz w:val="24"/>
          <w:szCs w:val="24"/>
        </w:rPr>
        <w:t>. годину п</w:t>
      </w:r>
      <w:r>
        <w:rPr>
          <w:rFonts w:eastAsia="Calibri" w:cs="Times New Roman"/>
          <w:color w:val="auto"/>
          <w:kern w:val="0"/>
          <w:sz w:val="24"/>
          <w:szCs w:val="24"/>
          <w:lang w:val="sr-RS" w:eastAsia="en-US" w:bidi="ar-SA"/>
        </w:rPr>
        <w:t>редвиђено</w:t>
      </w:r>
      <w:r>
        <w:rPr>
          <w:color w:val="auto"/>
          <w:sz w:val="24"/>
          <w:szCs w:val="24"/>
        </w:rPr>
        <w:t xml:space="preserve"> је</w:t>
      </w:r>
      <w:r>
        <w:rPr>
          <w:color w:val="auto"/>
          <w:sz w:val="24"/>
          <w:szCs w:val="24"/>
          <w:lang w:val="sr-RS"/>
        </w:rPr>
        <w:t xml:space="preserve"> да се изврши 31 </w:t>
      </w:r>
      <w:r>
        <w:rPr>
          <w:color w:val="auto"/>
          <w:sz w:val="24"/>
          <w:szCs w:val="24"/>
        </w:rPr>
        <w:t xml:space="preserve">редовни инспекцијски надзор. </w:t>
      </w:r>
      <w:r>
        <w:rPr>
          <w:color w:val="auto"/>
          <w:sz w:val="24"/>
          <w:szCs w:val="24"/>
          <w:lang w:val="sr-RS"/>
        </w:rPr>
        <w:t>Није извршен ни</w:t>
      </w:r>
      <w:r>
        <w:rPr>
          <w:rFonts w:cs="Times New Roman"/>
          <w:color w:val="auto"/>
          <w:sz w:val="24"/>
          <w:szCs w:val="24"/>
          <w:lang w:val="sr-RS"/>
        </w:rPr>
        <w:t>један</w:t>
      </w:r>
      <w:r>
        <w:rPr>
          <w:color w:val="auto"/>
          <w:sz w:val="24"/>
          <w:szCs w:val="24"/>
        </w:rPr>
        <w:t xml:space="preserve"> редовн</w:t>
      </w:r>
      <w:r>
        <w:rPr>
          <w:color w:val="auto"/>
          <w:sz w:val="24"/>
          <w:szCs w:val="24"/>
          <w:lang w:val="sr-RS"/>
        </w:rPr>
        <w:t>и</w:t>
      </w:r>
      <w:r>
        <w:rPr>
          <w:color w:val="auto"/>
          <w:sz w:val="24"/>
          <w:szCs w:val="24"/>
        </w:rPr>
        <w:t xml:space="preserve"> инспекцијск</w:t>
      </w:r>
      <w:r>
        <w:rPr>
          <w:color w:val="auto"/>
          <w:sz w:val="24"/>
          <w:szCs w:val="24"/>
          <w:lang w:val="sr-RS"/>
        </w:rPr>
        <w:t>и</w:t>
      </w:r>
      <w:r>
        <w:rPr>
          <w:color w:val="auto"/>
          <w:sz w:val="24"/>
          <w:szCs w:val="24"/>
        </w:rPr>
        <w:t xml:space="preserve"> надзор. </w:t>
      </w:r>
      <w:r>
        <w:rPr>
          <w:color w:val="auto"/>
          <w:sz w:val="24"/>
          <w:szCs w:val="24"/>
          <w:lang w:val="sr-RS"/>
        </w:rPr>
        <w:t>План инспекцијског надзора за 2021. годину није остварен због одсуства инспектора за заштиту животне средине који је био на породиљском одсуству и одсуству због посебне неге детета. Након тог периода запослена је тражила и добила премештај у другој општинској јединици, тако да је место инспектора за заштиту животне средине остало упражњено у Општинској управи Ћићевац и није било извршиоца на том радном месту.</w:t>
      </w:r>
    </w:p>
    <w:p>
      <w:pPr>
        <w:pStyle w:val="Default"/>
        <w:spacing w:lineRule="auto" w:line="27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8) Ниво координације инспекцијског надзора са инспекцијским надзорима који врше друге инспекције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Са републичким инспекторима се размењују потребне информације </w:t>
      </w:r>
      <w:r>
        <w:rPr>
          <w:rFonts w:eastAsia="Calibri" w:cs="Times New Roman"/>
          <w:color w:val="auto"/>
          <w:kern w:val="0"/>
          <w:sz w:val="24"/>
          <w:szCs w:val="24"/>
          <w:lang w:val="sr-RS" w:eastAsia="en-US" w:bidi="ar-SA"/>
        </w:rPr>
        <w:t xml:space="preserve">ради достављања података Министарству за заштиту животне средине и Агенцији за заштиту животне средине.  </w:t>
      </w:r>
    </w:p>
    <w:p>
      <w:pPr>
        <w:pStyle w:val="Default"/>
        <w:spacing w:lineRule="auto" w:line="27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9) 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sr-RS"/>
        </w:rPr>
        <w:t xml:space="preserve">Одсек за урбанизам, грађевинарство и инспекцијске послове је без инспектора за заштиту животне средине због одсуства инспекторке која је била на породиљском одсуству и одсуству због посебне неге детета. </w:t>
      </w:r>
      <w:r>
        <w:rPr>
          <w:color w:val="auto"/>
          <w:sz w:val="24"/>
          <w:szCs w:val="24"/>
          <w:lang w:val="sr-RS"/>
        </w:rPr>
        <w:t>Након тог периода запослена је тражила и добила премештај у другој општинској јединици, тако да је место инспектора за заштиту животне средине остало упражњено у Општинској управи Ћићевац и није било извршиоца на том радном месту.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10) Придржавање рокова прописаних за поступање инспекције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color w:val="auto"/>
          <w:sz w:val="24"/>
          <w:szCs w:val="24"/>
        </w:rPr>
        <w:t xml:space="preserve">У </w:t>
      </w:r>
      <w:r>
        <w:rPr>
          <w:color w:val="auto"/>
          <w:sz w:val="24"/>
          <w:szCs w:val="24"/>
          <w:lang w:val="sr-RS"/>
        </w:rPr>
        <w:t>току 2021. године није било предмета који се односе на инспекцијски надзор.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11)</w:t>
      </w:r>
      <w:r>
        <w:rPr>
          <w:b/>
          <w:bCs/>
          <w:sz w:val="24"/>
          <w:szCs w:val="24"/>
          <w:lang w:val="sr-RS"/>
        </w:rPr>
        <w:t xml:space="preserve"> </w:t>
      </w:r>
      <w:r>
        <w:rPr>
          <w:b/>
          <w:bCs/>
          <w:sz w:val="24"/>
          <w:szCs w:val="24"/>
        </w:rPr>
        <w:t>Законитост управних аката донетих у инспекцијском надзору (број другостепених поступака, њихов исход, број покренутих управних спорова и њихов исход)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 202</w:t>
      </w:r>
      <w:r>
        <w:rPr>
          <w:sz w:val="24"/>
          <w:szCs w:val="24"/>
          <w:lang w:val="sr-RS"/>
        </w:rPr>
        <w:t>1</w:t>
      </w:r>
      <w:r>
        <w:rPr>
          <w:sz w:val="24"/>
          <w:szCs w:val="24"/>
        </w:rPr>
        <w:t xml:space="preserve">. години није било жалби на решење инспектора.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12) Поступање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 202</w:t>
      </w:r>
      <w:r>
        <w:rPr>
          <w:sz w:val="24"/>
          <w:szCs w:val="24"/>
          <w:lang w:val="sr-RS"/>
        </w:rPr>
        <w:t>1</w:t>
      </w:r>
      <w:r>
        <w:rPr>
          <w:sz w:val="24"/>
          <w:szCs w:val="24"/>
        </w:rPr>
        <w:t xml:space="preserve">. години није било писаних притужби на рад инспектора.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 w:before="0" w:after="55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13) Обуке и други облици усавршавања инспектора, са бројем тих обука и других облика стручног усавршавања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 w:before="0" w:after="55"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У 202</w:t>
      </w:r>
      <w:r>
        <w:rPr>
          <w:bCs/>
          <w:sz w:val="24"/>
          <w:szCs w:val="24"/>
          <w:lang w:val="sr-RS"/>
        </w:rPr>
        <w:t>1</w:t>
      </w:r>
      <w:r>
        <w:rPr>
          <w:bCs/>
          <w:sz w:val="24"/>
          <w:szCs w:val="24"/>
        </w:rPr>
        <w:t>. години није било обука.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14) Иницијативе за измене и допуне закона и других прописа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 202</w:t>
      </w:r>
      <w:r>
        <w:rPr>
          <w:sz w:val="24"/>
          <w:szCs w:val="24"/>
          <w:lang w:val="sr-RS"/>
        </w:rPr>
        <w:t>1. години није било иницијатива за измене и допуне прописа</w:t>
      </w:r>
      <w:r>
        <w:rPr>
          <w:sz w:val="24"/>
          <w:szCs w:val="24"/>
        </w:rPr>
        <w:t xml:space="preserve">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15) Мере и провере предузете у циљу потпуности и ажурности података у информационом систему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color w:val="C9211E"/>
        </w:rPr>
      </w:pPr>
      <w:r>
        <w:rPr>
          <w:color w:val="auto"/>
          <w:sz w:val="24"/>
          <w:szCs w:val="24"/>
        </w:rPr>
        <w:t xml:space="preserve">Уредно се врши евиденција предмета </w:t>
      </w:r>
      <w:r>
        <w:rPr>
          <w:color w:val="auto"/>
          <w:sz w:val="24"/>
          <w:szCs w:val="24"/>
          <w:lang w:val="sr-RS"/>
        </w:rPr>
        <w:t xml:space="preserve">кроз референтску свеску </w:t>
      </w:r>
      <w:r>
        <w:rPr>
          <w:color w:val="auto"/>
          <w:sz w:val="24"/>
          <w:szCs w:val="24"/>
        </w:rPr>
        <w:t xml:space="preserve">и </w:t>
      </w:r>
      <w:r>
        <w:rPr>
          <w:color w:val="auto"/>
          <w:sz w:val="24"/>
          <w:szCs w:val="24"/>
          <w:lang w:val="sr-RS"/>
        </w:rPr>
        <w:t xml:space="preserve">ажурирају се </w:t>
      </w:r>
      <w:r>
        <w:rPr>
          <w:color w:val="auto"/>
          <w:sz w:val="24"/>
          <w:szCs w:val="24"/>
        </w:rPr>
        <w:t>пода</w:t>
      </w:r>
      <w:r>
        <w:rPr>
          <w:color w:val="auto"/>
          <w:sz w:val="24"/>
          <w:szCs w:val="24"/>
          <w:lang w:val="sr-RS"/>
        </w:rPr>
        <w:t>ци на општинском сајту.</w:t>
      </w:r>
      <w:r>
        <w:rPr>
          <w:color w:val="auto"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16) Стање у области извршавања поверених послова инспекцијског надзора</w:t>
      </w:r>
      <w:r>
        <w:rPr>
          <w:b/>
          <w:bCs/>
          <w:sz w:val="24"/>
          <w:szCs w:val="24"/>
          <w:lang w:val="sr-RS"/>
        </w:rPr>
        <w:t>:</w:t>
      </w:r>
    </w:p>
    <w:p>
      <w:pPr>
        <w:pStyle w:val="Default"/>
        <w:spacing w:lineRule="auto" w:line="276"/>
        <w:jc w:val="both"/>
        <w:rPr>
          <w:rFonts w:ascii="Times New Roman" w:hAnsi="Times New Roman" w:eastAsia="Calibri" w:cs="Times New Roman"/>
          <w:color w:val="auto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/>
          <w:color w:val="auto"/>
          <w:kern w:val="0"/>
          <w:sz w:val="24"/>
          <w:szCs w:val="24"/>
          <w:lang w:val="sr-RS" w:eastAsia="en-US" w:bidi="ar-SA"/>
        </w:rPr>
        <w:tab/>
        <w:t>/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17) Исходи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</w:t>
      </w:r>
      <w:r>
        <w:rPr>
          <w:b/>
          <w:bCs/>
          <w:sz w:val="24"/>
          <w:szCs w:val="24"/>
          <w:lang w:val="sr-RS"/>
        </w:rPr>
        <w:t>:</w:t>
      </w:r>
      <w:r>
        <w:rPr>
          <w:b/>
          <w:bCs/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У 202</w:t>
      </w:r>
      <w:r>
        <w:rPr>
          <w:sz w:val="24"/>
          <w:szCs w:val="24"/>
          <w:lang w:val="sr-RS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  <w:lang w:val="sr-RS"/>
        </w:rPr>
        <w:t xml:space="preserve"> години</w:t>
      </w:r>
      <w:r>
        <w:rPr>
          <w:sz w:val="24"/>
          <w:szCs w:val="24"/>
        </w:rPr>
        <w:t xml:space="preserve"> није било захтева за покретање ових поступака.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lang w:val="sr-RS"/>
        </w:rPr>
      </w:pPr>
      <w:r>
        <w:rPr>
          <w:sz w:val="24"/>
          <w:szCs w:val="24"/>
          <w:lang w:val="sr-RS"/>
        </w:rPr>
        <w:t xml:space="preserve">                                                                                                                             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sr-RS"/>
        </w:rPr>
        <w:t xml:space="preserve">                                                                                           </w:t>
      </w:r>
      <w:r>
        <w:rPr>
          <w:sz w:val="24"/>
          <w:szCs w:val="24"/>
          <w:lang w:val="sr-RS"/>
        </w:rPr>
        <w:t xml:space="preserve">Шеф Одсека за урбанизам, грађевинарство 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sr-RS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  <w:lang w:val="sr-RS"/>
        </w:rPr>
        <w:t>и инспекцијске послове</w:t>
      </w:r>
    </w:p>
    <w:p>
      <w:pPr>
        <w:pStyle w:val="Default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sr-RS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  <w:lang w:val="sr-RS"/>
        </w:rPr>
        <w:t>Јовица Богдановић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094" w:right="893" w:header="0" w:top="691" w:footer="0" w:bottom="28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3dc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96743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Application>LibreOffice/6.4.0.3$Windows_X86_64 LibreOffice_project/b0a288ab3d2d4774cb44b62f04d5d28733ac6df8</Application>
  <Pages>3</Pages>
  <Words>868</Words>
  <Characters>5280</Characters>
  <CharactersWithSpaces>6572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2020-02-07T11:31:00Z</dcterms:created>
  <dc:creator>comp</dc:creator>
  <dc:description/>
  <dc:language>en-US</dc:language>
  <cp:lastModifiedBy/>
  <dcterms:modified xsi:type="dcterms:W3CDTF">2022-02-25T11:14:46Z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